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00" w:lineRule="exact"/>
        <w:rPr>
          <w:rFonts w:hint="default"/>
        </w:rPr>
      </w:pP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/>
          <w:b w:val="1"/>
          <w:sz w:val="28"/>
        </w:rPr>
      </w:pPr>
      <w:r>
        <w:rPr>
          <w:rFonts w:hint="default" w:ascii="ＭＳ ゴシック" w:hAnsi="ＭＳ ゴシック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4518025</wp:posOffset>
                </wp:positionV>
                <wp:extent cx="200025" cy="1495425"/>
                <wp:effectExtent l="0" t="0" r="635" b="635"/>
                <wp:wrapNone/>
                <wp:docPr id="1026" name="Rectangle 19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9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00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（平成三十年一月改正）</w:t>
                            </w:r>
                          </w:p>
                        </w:txbxContent>
                      </wps:txbx>
                      <wps:bodyPr rot="0" vertOverflow="overflow" horzOverflow="overflow" vert="eaVert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91" style="v-text-anchor:top;mso-wrap-distance-top:0pt;mso-wrap-distance-right:9pt;margin-top:355.75pt;mso-wrap-distance-left:9pt;mso-wrap-distance-bottom:0pt;mso-position-horizontal:left;mso-position-horizontal-relative:right-margin-area;mso-position-vertical-relative:text;position:absolute;height:117.75pt;width:15.75pt;z-index:2;" o:spid="_x0000_s1026" o:allowincell="t" o:allowoverlap="t" filled="f" stroked="f" o:spt="1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（平成三十年一月改正）</w:t>
                      </w:r>
                    </w:p>
                  </w:txbxContent>
                </v:textbox>
                <v:imagedata o:title=""/>
                <w10:wrap type="none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>80</w:t>
      </w:r>
      <w:r>
        <w:rPr>
          <w:rFonts w:hint="default" w:ascii="ＭＳ ゴシック" w:hAnsi="ＭＳ ゴシック" w:eastAsia="ＭＳ ゴシック"/>
          <w:b w:val="1"/>
          <w:sz w:val="28"/>
        </w:rPr>
        <w:t>7</w:t>
      </w:r>
      <w:r>
        <w:rPr>
          <w:rFonts w:hint="eastAsia" w:ascii="ＭＳ ゴシック" w:hAnsi="ＭＳ ゴシック" w:eastAsia="ＭＳ ゴシック"/>
          <w:b w:val="1"/>
          <w:sz w:val="28"/>
        </w:rPr>
        <w:t>．ステロイドホルモン産生異常症臨床調査個人票</w:t>
      </w:r>
      <w:r>
        <w:rPr>
          <w:rFonts w:hint="eastAsia" w:ascii="ＭＳ ゴシック" w:hAnsi="ＭＳ ゴシック" w:eastAsia="ＭＳ ゴシック"/>
          <w:b w:val="1"/>
          <w:sz w:val="24"/>
        </w:rPr>
        <w:t>（更新）</w:t>
      </w:r>
    </w:p>
    <w:tbl>
      <w:tblPr>
        <w:tblStyle w:val="11"/>
        <w:tblW w:w="10092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"/>
        <w:gridCol w:w="1002"/>
        <w:gridCol w:w="1109"/>
        <w:gridCol w:w="927"/>
        <w:gridCol w:w="1396"/>
        <w:gridCol w:w="384"/>
        <w:gridCol w:w="101"/>
        <w:gridCol w:w="582"/>
        <w:gridCol w:w="38"/>
        <w:gridCol w:w="641"/>
        <w:gridCol w:w="1350"/>
        <w:gridCol w:w="2545"/>
      </w:tblGrid>
      <w:tr>
        <w:trPr>
          <w:gridBefore w:val="1"/>
          <w:wBefore w:w="17" w:type="dxa"/>
        </w:trPr>
        <w:tc>
          <w:tcPr>
            <w:tcW w:w="10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初回申請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の疾患名</w:t>
            </w:r>
          </w:p>
        </w:tc>
        <w:tc>
          <w:tcPr>
            <w:tcW w:w="9073" w:type="dxa"/>
            <w:gridSpan w:val="10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１．クッシング症候群（副腎性・異所性）　２．原発性アルドステロン症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３．多嚢胞性卵巣症候群　</w:t>
            </w:r>
            <w:r>
              <w:rPr>
                <w:rFonts w:hint="default"/>
                <w:sz w:val="18"/>
              </w:rPr>
              <w:t>　　　　　　　　</w:t>
            </w:r>
            <w:r>
              <w:rPr>
                <w:rFonts w:hint="eastAsia"/>
                <w:sz w:val="18"/>
              </w:rPr>
              <w:t>４．精巣機能低下症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1" w:type="dxa"/>
            <w:right w:w="11" w:type="dxa"/>
          </w:tblCellMar>
        </w:tblPrEx>
        <w:trPr>
          <w:trHeight w:val="80" w:hRule="atLeast"/>
        </w:trPr>
        <w:tc>
          <w:tcPr>
            <w:tcW w:w="101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rPr>
                <w:rFonts w:hint="default"/>
                <w:spacing w:val="-6"/>
                <w:sz w:val="18"/>
              </w:rPr>
            </w:pPr>
          </w:p>
        </w:tc>
        <w:tc>
          <w:tcPr>
            <w:tcW w:w="2036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ind w:left="100"/>
              <w:rPr>
                <w:rFonts w:hint="default"/>
                <w:sz w:val="18"/>
              </w:rPr>
            </w:pPr>
          </w:p>
        </w:tc>
        <w:tc>
          <w:tcPr>
            <w:tcW w:w="7037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exact"/>
              <w:ind w:left="100"/>
              <w:rPr>
                <w:rFonts w:hint="default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1" w:type="dxa"/>
            <w:right w:w="11" w:type="dxa"/>
          </w:tblCellMar>
        </w:tblPrEx>
        <w:trPr>
          <w:cantSplit/>
          <w:trHeight w:val="202" w:hRule="atLeast"/>
        </w:trPr>
        <w:tc>
          <w:tcPr>
            <w:tcW w:w="1019" w:type="dxa"/>
            <w:gridSpan w:val="2"/>
            <w:tcBorders>
              <w:top w:val="single" w:color="000000" w:sz="12" w:space="0"/>
              <w:left w:val="single" w:color="000000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6"/>
                <w:w w:val="70"/>
                <w:sz w:val="18"/>
              </w:rPr>
              <w:t>ふりがな</w:t>
            </w:r>
          </w:p>
        </w:tc>
        <w:tc>
          <w:tcPr>
            <w:tcW w:w="3432" w:type="dxa"/>
            <w:gridSpan w:val="3"/>
            <w:tcBorders>
              <w:top w:val="single" w:color="000000" w:sz="12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男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679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</w:p>
          <w:p>
            <w:pPr>
              <w:pStyle w:val="0"/>
              <w:ind w:left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single" w:color="000000" w:sz="12" w:space="0"/>
              <w:left w:val="single" w:color="auto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明治</w:t>
            </w:r>
            <w:r>
              <w:rPr>
                <w:rFonts w:hint="eastAsia"/>
                <w:sz w:val="18"/>
              </w:rPr>
              <w:t xml:space="preserve"> 2.</w:t>
            </w:r>
            <w:r>
              <w:rPr>
                <w:rFonts w:hint="eastAsia"/>
                <w:sz w:val="18"/>
              </w:rPr>
              <w:t>大正</w:t>
            </w:r>
          </w:p>
          <w:p>
            <w:pPr>
              <w:pStyle w:val="0"/>
              <w:ind w:left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4.</w:t>
            </w: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545" w:type="dxa"/>
            <w:vMerge w:val="restart"/>
            <w:tcBorders>
              <w:top w:val="single" w:color="000000" w:sz="12" w:space="0"/>
              <w:left w:val="single" w:color="FFFFFF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（満　　　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1" w:type="dxa"/>
            <w:right w:w="11" w:type="dxa"/>
          </w:tblCellMar>
        </w:tblPrEx>
        <w:trPr>
          <w:cantSplit/>
          <w:trHeight w:val="457" w:hRule="atLeast"/>
        </w:trPr>
        <w:tc>
          <w:tcPr>
            <w:tcW w:w="1019" w:type="dxa"/>
            <w:gridSpan w:val="2"/>
            <w:tcBorders>
              <w:top w:val="dotted" w:color="auto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32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67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3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545" w:type="dxa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345" w:hRule="atLeast"/>
        </w:trPr>
        <w:tc>
          <w:tcPr>
            <w:tcW w:w="101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" w:firstLine="180" w:firstLineChars="100"/>
              <w:rPr>
                <w:rFonts w:hint="default"/>
                <w:w w:val="90"/>
                <w:sz w:val="16"/>
              </w:rPr>
            </w:pPr>
            <w:r>
              <w:rPr>
                <w:rFonts w:hint="eastAsia"/>
                <w:sz w:val="18"/>
              </w:rPr>
              <w:t>保険種別</w:t>
            </w:r>
          </w:p>
        </w:tc>
        <w:tc>
          <w:tcPr>
            <w:tcW w:w="9073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68"/>
                <w:tab w:val="left" w:leader="none" w:pos="2524"/>
              </w:tabs>
              <w:ind w:right="-11"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１．協　　２．組　　３．船　　４．共　　５．国　６．後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540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4" w:right="-1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生活状況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社会活動（</w:t>
            </w: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就労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就学　</w:t>
            </w: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家事労働　</w:t>
            </w: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</w:rPr>
              <w:t>在宅療養　</w:t>
            </w:r>
            <w:r>
              <w:rPr>
                <w:rFonts w:hint="eastAsia"/>
                <w:sz w:val="18"/>
              </w:rPr>
              <w:t>5.</w:t>
            </w:r>
            <w:r>
              <w:rPr>
                <w:rFonts w:hint="eastAsia"/>
                <w:sz w:val="18"/>
              </w:rPr>
              <w:t>入院　</w:t>
            </w:r>
            <w:r>
              <w:rPr>
                <w:rFonts w:hint="eastAsia"/>
                <w:sz w:val="18"/>
              </w:rPr>
              <w:t>6.</w:t>
            </w:r>
            <w:r>
              <w:rPr>
                <w:rFonts w:hint="eastAsia"/>
                <w:sz w:val="18"/>
              </w:rPr>
              <w:t>入所　</w:t>
            </w:r>
            <w:r>
              <w:rPr>
                <w:rFonts w:hint="eastAsia"/>
                <w:sz w:val="18"/>
              </w:rPr>
              <w:t>7.</w:t>
            </w:r>
            <w:r>
              <w:rPr>
                <w:rFonts w:hint="eastAsia"/>
                <w:sz w:val="18"/>
              </w:rPr>
              <w:t>その他（　　　））</w:t>
            </w:r>
          </w:p>
          <w:p>
            <w:pPr>
              <w:pStyle w:val="0"/>
              <w:tabs>
                <w:tab w:val="left" w:leader="none" w:pos="1068"/>
                <w:tab w:val="left" w:leader="none" w:pos="2524"/>
              </w:tabs>
              <w:ind w:right="-11"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日常生活（</w:t>
            </w: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正常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やや不自由であるが独力で可能　</w:t>
            </w: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制限があり部分介助　</w:t>
            </w: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</w:rPr>
              <w:t>全面介助）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276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/>
              <w:jc w:val="center"/>
              <w:rPr>
                <w:rFonts w:hint="default"/>
                <w:w w:val="50"/>
                <w:sz w:val="18"/>
              </w:rPr>
            </w:pPr>
            <w:r>
              <w:rPr>
                <w:rFonts w:hint="eastAsia"/>
                <w:w w:val="80"/>
                <w:sz w:val="16"/>
              </w:rPr>
              <w:t>受診状況</w:t>
            </w:r>
            <w:r>
              <w:rPr>
                <w:rFonts w:hint="eastAsia"/>
                <w:w w:val="50"/>
                <w:sz w:val="16"/>
              </w:rPr>
              <w:t>（最近１年）</w:t>
            </w:r>
          </w:p>
        </w:tc>
        <w:tc>
          <w:tcPr>
            <w:tcW w:w="90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13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1.</w:t>
            </w:r>
            <w:r>
              <w:rPr>
                <w:rFonts w:hint="eastAsia"/>
                <w:sz w:val="17"/>
              </w:rPr>
              <w:t>主に入院　</w:t>
            </w:r>
            <w:r>
              <w:rPr>
                <w:rFonts w:hint="eastAsia"/>
                <w:sz w:val="17"/>
              </w:rPr>
              <w:t>2.</w:t>
            </w:r>
            <w:r>
              <w:rPr>
                <w:rFonts w:hint="eastAsia"/>
                <w:sz w:val="17"/>
              </w:rPr>
              <w:t>入院と通院半々　</w:t>
            </w:r>
            <w:r>
              <w:rPr>
                <w:rFonts w:hint="eastAsia"/>
                <w:sz w:val="17"/>
              </w:rPr>
              <w:t>3.</w:t>
            </w:r>
            <w:r>
              <w:rPr>
                <w:rFonts w:hint="eastAsia"/>
                <w:sz w:val="17"/>
              </w:rPr>
              <w:t>主に通院（　　／月）　</w:t>
            </w:r>
            <w:r>
              <w:rPr>
                <w:rFonts w:hint="eastAsia"/>
                <w:sz w:val="17"/>
              </w:rPr>
              <w:t>4.</w:t>
            </w:r>
            <w:r>
              <w:rPr>
                <w:rFonts w:hint="eastAsia"/>
                <w:sz w:val="17"/>
              </w:rPr>
              <w:t>往診あり　</w:t>
            </w:r>
            <w:r>
              <w:rPr>
                <w:rFonts w:hint="eastAsia"/>
                <w:sz w:val="17"/>
              </w:rPr>
              <w:t>5.</w:t>
            </w:r>
            <w:r>
              <w:rPr>
                <w:rFonts w:hint="eastAsia"/>
                <w:sz w:val="17"/>
              </w:rPr>
              <w:t>入通院なし　</w:t>
            </w:r>
            <w:r>
              <w:rPr>
                <w:rFonts w:hint="eastAsia"/>
                <w:sz w:val="17"/>
              </w:rPr>
              <w:t>6.</w:t>
            </w:r>
            <w:r>
              <w:rPr>
                <w:rFonts w:hint="eastAsia"/>
                <w:sz w:val="17"/>
              </w:rPr>
              <w:t>その他（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242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" w:right="-10"/>
              <w:jc w:val="center"/>
              <w:rPr>
                <w:rFonts w:hint="default"/>
                <w:w w:val="90"/>
                <w:sz w:val="18"/>
              </w:rPr>
            </w:pPr>
            <w:r>
              <w:rPr>
                <w:rFonts w:hint="eastAsia"/>
                <w:sz w:val="18"/>
              </w:rPr>
              <w:t>経過</w:t>
            </w:r>
            <w:r>
              <w:rPr>
                <w:rFonts w:hint="eastAsia"/>
                <w:w w:val="70"/>
                <w:sz w:val="18"/>
              </w:rPr>
              <w:t>(</w:t>
            </w:r>
            <w:r>
              <w:rPr>
                <w:rFonts w:hint="eastAsia"/>
                <w:w w:val="70"/>
                <w:sz w:val="18"/>
              </w:rPr>
              <w:t>最近１年</w:t>
            </w:r>
            <w:r>
              <w:rPr>
                <w:rFonts w:hint="eastAsia"/>
                <w:w w:val="70"/>
                <w:sz w:val="18"/>
              </w:rPr>
              <w:t>)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１．治癒　２．軽快　３．不変　４．徐々に悪化　５．急速に悪化　６．その他（　　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178" w:hRule="atLeast"/>
        </w:trPr>
        <w:tc>
          <w:tcPr>
            <w:tcW w:w="212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家族・同居人からの発病者</w:t>
            </w:r>
          </w:p>
        </w:tc>
        <w:tc>
          <w:tcPr>
            <w:tcW w:w="796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92" w:leftChars="96" w:right="11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１．あり（患者との続柄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pacing w:val="1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>　</w:t>
            </w:r>
            <w:r>
              <w:rPr>
                <w:rFonts w:hint="eastAsia"/>
                <w:sz w:val="18"/>
              </w:rPr>
              <w:t>２．なし　　３．不明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941" w:hRule="atLeast"/>
        </w:trPr>
        <w:tc>
          <w:tcPr>
            <w:tcW w:w="101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6" w:lineRule="auto"/>
              <w:ind w:left="17"/>
              <w:jc w:val="center"/>
              <w:rPr>
                <w:rFonts w:hint="default"/>
                <w:spacing w:val="-14"/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最近１年間の</w:t>
            </w:r>
          </w:p>
          <w:p>
            <w:pPr>
              <w:pStyle w:val="0"/>
              <w:snapToGrid w:val="0"/>
              <w:spacing w:line="216" w:lineRule="auto"/>
              <w:ind w:left="17"/>
              <w:jc w:val="center"/>
              <w:rPr>
                <w:rFonts w:hint="default"/>
                <w:w w:val="66"/>
                <w:sz w:val="18"/>
              </w:rPr>
            </w:pPr>
          </w:p>
          <w:p>
            <w:pPr>
              <w:pStyle w:val="0"/>
              <w:snapToGrid w:val="0"/>
              <w:spacing w:line="216" w:lineRule="auto"/>
              <w:ind w:left="1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治　　　療</w:t>
            </w:r>
          </w:p>
        </w:tc>
        <w:tc>
          <w:tcPr>
            <w:tcW w:w="9073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</w:t>
            </w:r>
          </w:p>
          <w:p>
            <w:pPr>
              <w:pStyle w:val="0"/>
              <w:snapToGrid w:val="0"/>
              <w:ind w:left="10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２．</w:t>
            </w:r>
          </w:p>
          <w:p>
            <w:pPr>
              <w:pStyle w:val="0"/>
              <w:snapToGrid w:val="0"/>
              <w:ind w:left="10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</w:p>
          <w:p>
            <w:pPr>
              <w:pStyle w:val="0"/>
              <w:snapToGrid w:val="0"/>
              <w:ind w:left="10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134" w:hRule="atLeast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最近１年間の当該疾患の継続を示す検査所見</w:t>
            </w:r>
          </w:p>
          <w:p>
            <w:pPr>
              <w:pStyle w:val="0"/>
              <w:rPr>
                <w:rFonts w:hint="default"/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(</w:t>
            </w:r>
            <w:r>
              <w:rPr>
                <w:rFonts w:hint="default"/>
                <w:spacing w:val="-6"/>
                <w:sz w:val="18"/>
              </w:rPr>
              <w:t>検査年月日</w:t>
            </w:r>
            <w:r>
              <w:rPr>
                <w:rFonts w:hint="default"/>
                <w:spacing w:val="-6"/>
                <w:sz w:val="18"/>
              </w:rPr>
              <w:t>)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■原発性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アルドステロン症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bookmarkStart w:id="0" w:name="_GoBack"/>
            <w:bookmarkEnd w:id="0"/>
            <w:r>
              <w:rPr>
                <w:rFonts w:hint="default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月　　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884" w:hRule="atLeast"/>
        </w:trPr>
        <w:tc>
          <w:tcPr>
            <w:tcW w:w="1019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4537" w:type="dxa"/>
            <w:gridSpan w:val="7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K            </w:t>
            </w:r>
            <w:r>
              <w:rPr>
                <w:rFonts w:hint="eastAsia"/>
                <w:sz w:val="18"/>
                <w:u w:val="single" w:color="auto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 mEq/l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Cr           </w:t>
            </w:r>
            <w:r>
              <w:rPr>
                <w:rFonts w:hint="eastAsia"/>
                <w:sz w:val="18"/>
                <w:u w:val="single" w:color="auto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 mg/dl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PRA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PRC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　　　</w:t>
            </w:r>
            <w:r>
              <w:rPr>
                <w:rFonts w:hint="default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</w:rPr>
              <w:t xml:space="preserve"> ng/ml/hr(pg/ml)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Na</w:t>
            </w: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default"/>
                <w:sz w:val="18"/>
                <w:u w:val="single" w:color="auto"/>
              </w:rPr>
              <w:t xml:space="preserve">           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mEq/l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eGFR </w:t>
            </w:r>
            <w:r>
              <w:rPr>
                <w:rFonts w:hint="eastAsia"/>
                <w:sz w:val="18"/>
                <w:u w:val="single" w:color="auto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 ml/min/1.73</w:t>
            </w:r>
            <w:r>
              <w:rPr>
                <w:rFonts w:hint="eastAsia"/>
                <w:sz w:val="18"/>
              </w:rPr>
              <w:t>㎡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PAC  </w:t>
            </w:r>
            <w:r>
              <w:rPr>
                <w:rFonts w:hint="default"/>
                <w:sz w:val="18"/>
                <w:u w:val="single" w:color="auto"/>
              </w:rPr>
              <w:t xml:space="preserve">         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pg/ml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1335" w:hRule="atLeast"/>
        </w:trPr>
        <w:tc>
          <w:tcPr>
            <w:tcW w:w="1019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4537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最近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年間の血圧（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回以上）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  <w:u w:val="single" w:color="auto"/>
              </w:rPr>
              <w:t>（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年　　月　　日）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／　　　</w:t>
            </w:r>
            <w:r>
              <w:rPr>
                <w:rFonts w:hint="eastAsia"/>
                <w:sz w:val="18"/>
              </w:rPr>
              <w:t xml:space="preserve"> mmHg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  <w:u w:val="single" w:color="auto"/>
              </w:rPr>
              <w:t>（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年　　月　　日）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／　　　</w:t>
            </w:r>
            <w:r>
              <w:rPr>
                <w:rFonts w:hint="eastAsia"/>
                <w:sz w:val="18"/>
              </w:rPr>
              <w:t xml:space="preserve"> mmHg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  <w:u w:val="single" w:color="auto"/>
              </w:rPr>
              <w:t>（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年　　月　　日）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／　　　</w:t>
            </w:r>
            <w:r>
              <w:rPr>
                <w:rFonts w:hint="eastAsia"/>
                <w:sz w:val="18"/>
              </w:rPr>
              <w:t xml:space="preserve"> mmHg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合併症</w:t>
            </w:r>
          </w:p>
          <w:p>
            <w:pPr>
              <w:pStyle w:val="0"/>
              <w:ind w:left="2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１．あり　　２．なし</w:t>
            </w:r>
          </w:p>
          <w:p>
            <w:pPr>
              <w:pStyle w:val="0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心血管疾患</w:t>
            </w:r>
          </w:p>
          <w:p>
            <w:pPr>
              <w:pStyle w:val="0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脳血管疾患</w:t>
            </w:r>
          </w:p>
          <w:p>
            <w:pPr>
              <w:pStyle w:val="0"/>
              <w:ind w:firstLine="360" w:firstLineChars="2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腎機能障害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140" w:hRule="atLeast"/>
        </w:trPr>
        <w:tc>
          <w:tcPr>
            <w:tcW w:w="1019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■クッシング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症候群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年　　月　　日）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■精巣機能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低下症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　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　　月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621" w:hRule="atLeast"/>
        </w:trPr>
        <w:tc>
          <w:tcPr>
            <w:tcW w:w="1019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4537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ACTH</w:t>
            </w:r>
            <w:r>
              <w:rPr>
                <w:rFonts w:hint="eastAsia"/>
                <w:sz w:val="18"/>
              </w:rPr>
              <w:t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</w:rPr>
              <w:t xml:space="preserve"> pg/ml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コルチゾール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μ</w:t>
            </w:r>
            <w:r>
              <w:rPr>
                <w:rFonts w:hint="eastAsia"/>
                <w:sz w:val="18"/>
              </w:rPr>
              <w:t>g/d</w:t>
            </w:r>
            <w:r>
              <w:rPr>
                <w:rFonts w:hint="default"/>
                <w:sz w:val="18"/>
              </w:rPr>
              <w:t>l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8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テストステロン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 xml:space="preserve">          </w:t>
            </w:r>
            <w:r>
              <w:rPr>
                <w:rFonts w:hint="default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n</w:t>
            </w:r>
            <w:r>
              <w:rPr>
                <w:rFonts w:hint="eastAsia"/>
                <w:sz w:val="18"/>
              </w:rPr>
              <w:t>g/</w:t>
            </w:r>
            <w:r>
              <w:rPr>
                <w:rFonts w:hint="default"/>
                <w:sz w:val="18"/>
              </w:rPr>
              <w:t>m</w:t>
            </w:r>
            <w:r>
              <w:rPr>
                <w:rFonts w:hint="eastAsia"/>
                <w:sz w:val="18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691" w:hRule="atLeast"/>
        </w:trPr>
        <w:tc>
          <w:tcPr>
            <w:tcW w:w="1019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■その他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default"/>
                <w:sz w:val="18"/>
              </w:rPr>
              <w:t>異所性</w:t>
            </w:r>
            <w:r>
              <w:rPr>
                <w:rFonts w:hint="default"/>
                <w:sz w:val="18"/>
              </w:rPr>
              <w:t>ACTH</w:t>
            </w:r>
            <w:r>
              <w:rPr>
                <w:rFonts w:hint="default"/>
                <w:sz w:val="18"/>
              </w:rPr>
              <w:t>症候群、多嚢胞性卵巣症候群</w:t>
            </w:r>
            <w:r>
              <w:rPr>
                <w:rFonts w:hint="eastAsia"/>
                <w:sz w:val="18"/>
              </w:rPr>
              <w:t>等に</w:t>
            </w:r>
            <w:r>
              <w:rPr>
                <w:rFonts w:hint="default"/>
                <w:sz w:val="18"/>
              </w:rPr>
              <w:t>関する所見を記載してください。）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　　</w:t>
            </w:r>
            <w:r>
              <w:rPr>
                <w:rFonts w:hint="default" w:asciiTheme="majorEastAsia" w:hAnsiTheme="majorEastAsia" w:eastAsiaTheme="majorEastAsia"/>
                <w:sz w:val="18"/>
              </w:rPr>
              <w:t>　　年　　月　　日）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" w:type="dxa"/>
            <w:right w:w="10" w:type="dxa"/>
          </w:tblCellMar>
        </w:tblPrEx>
        <w:trPr>
          <w:cantSplit/>
          <w:trHeight w:val="664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今後の治療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（特に薬物治療の必要性について記載してください。）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1578" w:hRule="atLeast"/>
        </w:trPr>
        <w:tc>
          <w:tcPr>
            <w:tcW w:w="483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4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医療機関名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suppressAutoHyphens w:val="1"/>
              <w:kinsoku w:val="0"/>
              <w:wordWrap w:val="0"/>
              <w:autoSpaceDE w:val="0"/>
              <w:autoSpaceDN w:val="0"/>
              <w:snapToGrid w:val="1"/>
              <w:spacing w:line="234" w:lineRule="atLeast"/>
              <w:rPr>
                <w:rFonts w:hint="default" w:ascii="Century" w:hAnsi="Century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医療機関所在地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suppressAutoHyphens w:val="1"/>
              <w:kinsoku w:val="0"/>
              <w:wordWrap w:val="0"/>
              <w:autoSpaceDE w:val="0"/>
              <w:autoSpaceDN w:val="0"/>
              <w:snapToGrid w:val="1"/>
              <w:spacing w:line="234" w:lineRule="atLeast"/>
              <w:rPr>
                <w:rFonts w:hint="default" w:ascii="Century" w:hAnsi="Century"/>
                <w:spacing w:val="4"/>
              </w:rPr>
            </w:pPr>
          </w:p>
          <w:p>
            <w:pPr>
              <w:pStyle w:val="0"/>
              <w:tabs>
                <w:tab w:val="left" w:leader="none" w:pos="5221"/>
              </w:tabs>
              <w:spacing w:line="300" w:lineRule="auto"/>
              <w:rPr>
                <w:rFonts w:hint="default"/>
                <w:sz w:val="18"/>
              </w:rPr>
            </w:pPr>
            <w:r>
              <w:rPr>
                <w:rFonts w:hint="eastAsia"/>
              </w:rPr>
              <w:t>医師の氏名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00FF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00FF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257" w:type="dxa"/>
            <w:gridSpan w:val="6"/>
            <w:tcBorders>
              <w:top w:val="double" w:color="auto" w:sz="4" w:space="0"/>
              <w:left w:val="doub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電話番号　　　　　　（　　　　）　　　　　　　　</w:t>
            </w:r>
          </w:p>
          <w:p>
            <w:pPr>
              <w:pStyle w:val="0"/>
              <w:tabs>
                <w:tab w:val="left" w:leader="none" w:pos="5221"/>
              </w:tabs>
              <w:spacing w:line="300" w:lineRule="auto"/>
              <w:ind w:firstLine="600" w:firstLineChars="300"/>
              <w:rPr>
                <w:rFonts w:hint="default"/>
                <w:sz w:val="18"/>
              </w:rPr>
            </w:pPr>
            <w:r>
              <w:rPr>
                <w:rFonts w:hint="eastAsia"/>
              </w:rPr>
              <w:t>記載年月日：　　　　　年　　　月　　　日</w:t>
            </w:r>
          </w:p>
        </w:tc>
      </w:tr>
    </w:tbl>
    <w:p>
      <w:pPr>
        <w:pStyle w:val="0"/>
        <w:spacing w:before="40" w:beforeLines="0" w:beforeAutospacing="0"/>
        <w:ind w:right="278"/>
        <w:rPr>
          <w:rFonts w:hint="default"/>
          <w:sz w:val="16"/>
        </w:rPr>
      </w:pPr>
      <w:r>
        <w:rPr>
          <w:rFonts w:hint="eastAsia"/>
          <w:sz w:val="16"/>
        </w:rPr>
        <w:t>※　初回申請の時と疾患名が異なる場合は、新規申請用臨床調査個人票を改めて提出してください。</w:t>
      </w:r>
    </w:p>
    <w:p>
      <w:pPr>
        <w:pStyle w:val="0"/>
        <w:spacing w:before="40" w:beforeLines="0" w:beforeAutospacing="0"/>
        <w:ind w:right="278"/>
        <w:rPr>
          <w:rFonts w:hint="default"/>
          <w:sz w:val="16"/>
        </w:rPr>
      </w:pPr>
      <w:r>
        <w:rPr>
          <w:rFonts w:hint="eastAsia"/>
          <w:sz w:val="16"/>
        </w:rPr>
        <w:t>※　認定基準については、新規申請用臨床調査個人票に記載してあります。</w:t>
      </w:r>
    </w:p>
    <w:p>
      <w:pPr>
        <w:pStyle w:val="0"/>
        <w:spacing w:before="40" w:beforeLines="0" w:beforeAutospacing="0"/>
        <w:ind w:right="278"/>
        <w:rPr>
          <w:rFonts w:hint="default"/>
          <w:sz w:val="16"/>
        </w:rPr>
      </w:pPr>
    </w:p>
    <w:p>
      <w:pPr>
        <w:pStyle w:val="0"/>
        <w:spacing w:before="40" w:beforeLines="0" w:beforeAutospacing="0"/>
        <w:ind w:right="278"/>
        <w:rPr>
          <w:rFonts w:hint="default"/>
          <w:sz w:val="16"/>
        </w:rPr>
      </w:pPr>
    </w:p>
    <w:p>
      <w:pPr>
        <w:pStyle w:val="0"/>
        <w:spacing w:before="40" w:beforeLines="0" w:beforeAutospacing="0"/>
        <w:ind w:right="278"/>
        <w:rPr>
          <w:rFonts w:hint="default"/>
          <w:sz w:val="16"/>
        </w:rPr>
      </w:pPr>
    </w:p>
    <w:p>
      <w:pPr>
        <w:pStyle w:val="0"/>
        <w:spacing w:before="40" w:beforeLines="0" w:beforeAutospacing="0"/>
        <w:ind w:right="278"/>
        <w:rPr>
          <w:rFonts w:hint="eastAsia"/>
        </w:rPr>
      </w:pPr>
    </w:p>
    <w:p>
      <w:pPr>
        <w:pStyle w:val="0"/>
        <w:spacing w:before="40" w:beforeLines="0" w:beforeAutospacing="0" w:line="20" w:lineRule="exact"/>
        <w:ind w:right="278"/>
        <w:rPr>
          <w:rFonts w:hint="default"/>
        </w:rPr>
      </w:pPr>
    </w:p>
    <w:p>
      <w:pPr>
        <w:pStyle w:val="0"/>
        <w:spacing w:line="300" w:lineRule="auto"/>
        <w:rPr>
          <w:rFonts w:hint="default"/>
        </w:rPr>
      </w:pPr>
      <w:r>
        <w:rPr>
          <w:rFonts w:hint="eastAsia"/>
        </w:rPr>
        <w:t>【認定基準】</w:t>
      </w:r>
    </w:p>
    <w:p>
      <w:pPr>
        <w:pStyle w:val="0"/>
        <w:spacing w:line="300" w:lineRule="auto"/>
        <w:ind w:firstLine="200" w:firstLineChars="100"/>
        <w:rPr>
          <w:rFonts w:hint="default"/>
        </w:rPr>
      </w:pPr>
      <w:r>
        <w:rPr>
          <w:rFonts w:hint="default"/>
        </w:rPr>
        <w:t>当該疾病についての特異的な治療が行われている者</w:t>
      </w:r>
    </w:p>
    <w:sectPr>
      <w:pgSz w:w="11906" w:h="16838"/>
      <w:pgMar w:top="567" w:right="851" w:bottom="567" w:left="85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51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idowControl w:val="1"/>
      <w:ind w:left="462" w:hanging="294"/>
    </w:pPr>
    <w:rPr>
      <w:rFonts w:eastAsia="ＭＳ ゴシック"/>
      <w:sz w:val="28"/>
    </w:rPr>
  </w:style>
  <w:style w:type="paragraph" w:styleId="16">
    <w:name w:val="Body Text 2"/>
    <w:basedOn w:val="0"/>
    <w:next w:val="16"/>
    <w:link w:val="0"/>
    <w:uiPriority w:val="0"/>
    <w:pPr>
      <w:spacing w:line="480" w:lineRule="auto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18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754</Words>
  <Characters>590</Characters>
  <Application>JUST Note</Application>
  <Lines>4</Lines>
  <Paragraphs>2</Paragraphs>
  <Company>ＨＢＡ</Company>
  <CharactersWithSpaces>1342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ono ruriko</dc:creator>
  <cp:lastModifiedBy>赤間＿紳吾（保健係）</cp:lastModifiedBy>
  <cp:lastPrinted>2017-09-08T03:11:00Z</cp:lastPrinted>
  <dcterms:created xsi:type="dcterms:W3CDTF">2017-08-15T06:01:00Z</dcterms:created>
  <dcterms:modified xsi:type="dcterms:W3CDTF">2017-09-13T04:33:50Z</dcterms:modified>
  <cp:revision>13</cp:revision>
</cp:coreProperties>
</file>