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EE" w:rsidRPr="00EE60E0" w:rsidRDefault="005D69EE" w:rsidP="00B30737">
      <w:pPr>
        <w:rPr>
          <w:rFonts w:asciiTheme="majorEastAsia" w:eastAsiaTheme="majorEastAsia" w:hAnsiTheme="majorEastAsia"/>
          <w:b/>
          <w:sz w:val="24"/>
          <w:szCs w:val="24"/>
        </w:rPr>
      </w:pPr>
      <w:r w:rsidRPr="00EE60E0">
        <w:rPr>
          <w:rFonts w:asciiTheme="majorEastAsia" w:eastAsiaTheme="majorEastAsia" w:hAnsiTheme="majorEastAsia" w:hint="eastAsia"/>
          <w:b/>
          <w:sz w:val="24"/>
          <w:szCs w:val="24"/>
        </w:rPr>
        <w:t>関係法令抜粋</w:t>
      </w:r>
      <w:r w:rsidRPr="00EE60E0">
        <w:rPr>
          <w:rFonts w:asciiTheme="majorEastAsia" w:eastAsiaTheme="majorEastAsia" w:hAnsiTheme="majorEastAsia"/>
          <w:b/>
          <w:sz w:val="24"/>
          <w:szCs w:val="24"/>
        </w:rPr>
        <w:t xml:space="preserve">　平成３０年３月現在</w:t>
      </w:r>
    </w:p>
    <w:p w:rsidR="005D69EE" w:rsidRDefault="005D69EE" w:rsidP="00B30737">
      <w:pPr>
        <w:rPr>
          <w:b/>
          <w:sz w:val="24"/>
          <w:szCs w:val="24"/>
        </w:rPr>
      </w:pPr>
    </w:p>
    <w:p w:rsidR="00B30737" w:rsidRPr="00EE60E0" w:rsidRDefault="005D69EE" w:rsidP="00B30737">
      <w:pPr>
        <w:rPr>
          <w:rFonts w:asciiTheme="majorEastAsia" w:eastAsiaTheme="majorEastAsia" w:hAnsiTheme="majorEastAsia"/>
          <w:b/>
          <w:sz w:val="24"/>
          <w:szCs w:val="24"/>
        </w:rPr>
      </w:pPr>
      <w:r w:rsidRPr="00EE60E0">
        <w:rPr>
          <w:rFonts w:asciiTheme="majorEastAsia" w:eastAsiaTheme="majorEastAsia" w:hAnsiTheme="majorEastAsia" w:hint="eastAsia"/>
          <w:b/>
          <w:sz w:val="24"/>
          <w:szCs w:val="24"/>
        </w:rPr>
        <w:t>◇</w:t>
      </w:r>
      <w:r w:rsidR="00B30737" w:rsidRPr="00EE60E0">
        <w:rPr>
          <w:rFonts w:asciiTheme="majorEastAsia" w:eastAsiaTheme="majorEastAsia" w:hAnsiTheme="majorEastAsia" w:hint="eastAsia"/>
          <w:b/>
          <w:sz w:val="24"/>
          <w:szCs w:val="24"/>
        </w:rPr>
        <w:t>地方税法</w:t>
      </w:r>
    </w:p>
    <w:p w:rsidR="00906940" w:rsidRDefault="00DA57A7" w:rsidP="00087EDD">
      <w:pPr>
        <w:ind w:left="211" w:hangingChars="100" w:hanging="211"/>
        <w:rPr>
          <w:sz w:val="24"/>
        </w:rPr>
      </w:pPr>
      <w:r w:rsidRPr="00B30737">
        <w:rPr>
          <w:rFonts w:ascii="MS UI Gothic" w:eastAsia="MS UI Gothic" w:hAnsi="MS UI Gothic"/>
          <w:b/>
        </w:rPr>
        <w:t>第三百四十八条</w:t>
      </w:r>
      <w:r>
        <w:rPr>
          <w:rFonts w:ascii="MS UI Gothic" w:eastAsia="MS UI Gothic" w:hAnsi="MS UI Gothic"/>
        </w:rPr>
        <w:t xml:space="preserve">　市町村は、国並びに都道府県、市町村、特別区、これらの組合、財産区及び合併特例区に対しては、固定資産税を課することができない。</w:t>
      </w:r>
    </w:p>
    <w:p w:rsidR="00906940" w:rsidRDefault="00DA57A7" w:rsidP="00087EDD">
      <w:pPr>
        <w:ind w:left="210" w:hangingChars="100" w:hanging="210"/>
        <w:rPr>
          <w:rFonts w:ascii="MS UI Gothic" w:eastAsia="MS UI Gothic" w:hAnsi="MS UI Gothic"/>
        </w:rPr>
      </w:pPr>
      <w:r>
        <w:rPr>
          <w:rFonts w:ascii="MS UI Gothic" w:eastAsia="MS UI Gothic" w:hAnsi="MS UI Gothic"/>
        </w:rPr>
        <w:t>２　固定資産税は、次に掲げる固定資産に対しては課することができない。ただし、固定資産を有料で借り受けた者がこれを次に掲げる固定資産として使用する場合には、当該固定資産の所有者に課することができる。</w:t>
      </w:r>
    </w:p>
    <w:p w:rsidR="00B30737" w:rsidRPr="005D69EE" w:rsidRDefault="00B30737">
      <w:pPr>
        <w:rPr>
          <w:rFonts w:asciiTheme="majorEastAsia" w:eastAsiaTheme="majorEastAsia" w:hAnsiTheme="majorEastAsia"/>
          <w:sz w:val="24"/>
        </w:rPr>
      </w:pPr>
      <w:r w:rsidRPr="005D69EE">
        <w:rPr>
          <w:rFonts w:asciiTheme="majorEastAsia" w:eastAsiaTheme="majorEastAsia" w:hAnsiTheme="majorEastAsia" w:hint="eastAsia"/>
        </w:rPr>
        <w:t>【</w:t>
      </w:r>
      <w:r w:rsidRPr="005D69EE">
        <w:rPr>
          <w:rFonts w:asciiTheme="majorEastAsia" w:eastAsiaTheme="majorEastAsia" w:hAnsiTheme="majorEastAsia"/>
        </w:rPr>
        <w:t>略】</w:t>
      </w:r>
    </w:p>
    <w:p w:rsidR="00906940" w:rsidRPr="00EE60E0" w:rsidRDefault="00DA57A7" w:rsidP="00087EDD">
      <w:pPr>
        <w:ind w:left="210" w:hangingChars="100" w:hanging="210"/>
        <w:rPr>
          <w:sz w:val="24"/>
        </w:rPr>
      </w:pPr>
      <w:r w:rsidRPr="00EE60E0">
        <w:rPr>
          <w:rFonts w:ascii="MS UI Gothic" w:eastAsia="MS UI Gothic" w:hAnsi="MS UI Gothic"/>
        </w:rPr>
        <w:t>十の七　第十号から前号までに掲げる固定資産のほか、社会福祉法人その他政令で定める者が社会福祉法第二条第一項に規定する社会福祉事業（同条第三項第一号の二に掲げる事業を除く。）の用に供する固定資産で政令で定めるもの</w:t>
      </w:r>
    </w:p>
    <w:p w:rsidR="00906940" w:rsidRDefault="00906940"/>
    <w:tbl>
      <w:tblPr>
        <w:tblW w:w="0" w:type="auto"/>
        <w:tblInd w:w="9" w:type="dxa"/>
        <w:tblBorders>
          <w:top w:val="single" w:sz="4" w:space="0" w:color="auto"/>
        </w:tblBorders>
        <w:tblCellMar>
          <w:left w:w="99" w:type="dxa"/>
          <w:right w:w="99" w:type="dxa"/>
        </w:tblCellMar>
        <w:tblLook w:val="0000" w:firstRow="0" w:lastRow="0" w:firstColumn="0" w:lastColumn="0" w:noHBand="0" w:noVBand="0"/>
      </w:tblPr>
      <w:tblGrid>
        <w:gridCol w:w="8490"/>
      </w:tblGrid>
      <w:tr w:rsidR="00BA3298" w:rsidTr="00BA3298">
        <w:trPr>
          <w:trHeight w:val="100"/>
        </w:trPr>
        <w:tc>
          <w:tcPr>
            <w:tcW w:w="8490" w:type="dxa"/>
          </w:tcPr>
          <w:p w:rsidR="00BA3298" w:rsidRDefault="00BA3298"/>
        </w:tc>
      </w:tr>
    </w:tbl>
    <w:p w:rsidR="005D69EE" w:rsidRPr="00087EDD" w:rsidRDefault="005D69EE">
      <w:pPr>
        <w:rPr>
          <w:rFonts w:asciiTheme="majorEastAsia" w:eastAsiaTheme="majorEastAsia" w:hAnsiTheme="majorEastAsia"/>
          <w:b/>
          <w:sz w:val="24"/>
          <w:szCs w:val="24"/>
        </w:rPr>
      </w:pPr>
      <w:r w:rsidRPr="00087EDD">
        <w:rPr>
          <w:rFonts w:asciiTheme="majorEastAsia" w:eastAsiaTheme="majorEastAsia" w:hAnsiTheme="majorEastAsia" w:hint="eastAsia"/>
          <w:b/>
          <w:sz w:val="24"/>
          <w:szCs w:val="24"/>
        </w:rPr>
        <w:t>◇社会福祉法</w:t>
      </w:r>
    </w:p>
    <w:p w:rsidR="005D69EE" w:rsidRPr="00EE60E0" w:rsidRDefault="00087EDD" w:rsidP="00087EDD">
      <w:pPr>
        <w:ind w:left="210" w:hangingChars="100" w:hanging="210"/>
        <w:rPr>
          <w:rFonts w:asciiTheme="majorEastAsia" w:eastAsiaTheme="majorEastAsia" w:hAnsiTheme="majorEastAsia"/>
          <w:szCs w:val="21"/>
        </w:rPr>
      </w:pPr>
      <w:r w:rsidRPr="00EE60E0">
        <w:rPr>
          <w:rFonts w:asciiTheme="majorEastAsia" w:eastAsiaTheme="majorEastAsia" w:hAnsiTheme="majorEastAsia" w:hint="eastAsia"/>
          <w:szCs w:val="21"/>
        </w:rPr>
        <w:t>第二</w:t>
      </w:r>
      <w:r w:rsidRPr="00EE60E0">
        <w:rPr>
          <w:rFonts w:asciiTheme="majorEastAsia" w:eastAsiaTheme="majorEastAsia" w:hAnsiTheme="majorEastAsia"/>
          <w:szCs w:val="21"/>
        </w:rPr>
        <w:t>条</w:t>
      </w:r>
      <w:r w:rsidRPr="00EE60E0">
        <w:rPr>
          <w:rFonts w:asciiTheme="majorEastAsia" w:eastAsiaTheme="majorEastAsia" w:hAnsiTheme="majorEastAsia" w:hint="eastAsia"/>
          <w:szCs w:val="21"/>
        </w:rPr>
        <w:t xml:space="preserve">　</w:t>
      </w:r>
      <w:r w:rsidRPr="00EE60E0">
        <w:rPr>
          <w:rFonts w:asciiTheme="majorEastAsia" w:eastAsiaTheme="majorEastAsia" w:hAnsiTheme="majorEastAsia"/>
          <w:szCs w:val="21"/>
        </w:rPr>
        <w:t>この法律において「社会福祉事業</w:t>
      </w:r>
      <w:r w:rsidRPr="00EE60E0">
        <w:rPr>
          <w:rFonts w:asciiTheme="majorEastAsia" w:eastAsiaTheme="majorEastAsia" w:hAnsiTheme="majorEastAsia" w:hint="eastAsia"/>
          <w:szCs w:val="21"/>
        </w:rPr>
        <w:t>」</w:t>
      </w:r>
      <w:r w:rsidRPr="00EE60E0">
        <w:rPr>
          <w:rFonts w:asciiTheme="majorEastAsia" w:eastAsiaTheme="majorEastAsia" w:hAnsiTheme="majorEastAsia"/>
          <w:szCs w:val="21"/>
        </w:rPr>
        <w:t>とは、第１種社会福祉事業及び第２種</w:t>
      </w:r>
      <w:r w:rsidRPr="00EE60E0">
        <w:rPr>
          <w:rFonts w:asciiTheme="majorEastAsia" w:eastAsiaTheme="majorEastAsia" w:hAnsiTheme="majorEastAsia" w:hint="eastAsia"/>
          <w:szCs w:val="21"/>
        </w:rPr>
        <w:t>社会福祉事業</w:t>
      </w:r>
      <w:r w:rsidRPr="00EE60E0">
        <w:rPr>
          <w:rFonts w:asciiTheme="majorEastAsia" w:eastAsiaTheme="majorEastAsia" w:hAnsiTheme="majorEastAsia"/>
          <w:szCs w:val="21"/>
        </w:rPr>
        <w:t>をいう。</w:t>
      </w:r>
    </w:p>
    <w:p w:rsidR="005D69EE" w:rsidRDefault="005D69EE">
      <w:pPr>
        <w:rPr>
          <w:b/>
          <w:sz w:val="24"/>
          <w:szCs w:val="24"/>
        </w:rPr>
      </w:pPr>
    </w:p>
    <w:tbl>
      <w:tblPr>
        <w:tblW w:w="0" w:type="auto"/>
        <w:tblInd w:w="-6" w:type="dxa"/>
        <w:tblBorders>
          <w:top w:val="single" w:sz="4" w:space="0" w:color="auto"/>
        </w:tblBorders>
        <w:tblCellMar>
          <w:left w:w="99" w:type="dxa"/>
          <w:right w:w="99" w:type="dxa"/>
        </w:tblCellMar>
        <w:tblLook w:val="0000" w:firstRow="0" w:lastRow="0" w:firstColumn="0" w:lastColumn="0" w:noHBand="0" w:noVBand="0"/>
      </w:tblPr>
      <w:tblGrid>
        <w:gridCol w:w="8385"/>
      </w:tblGrid>
      <w:tr w:rsidR="005D69EE" w:rsidTr="005D69EE">
        <w:trPr>
          <w:trHeight w:val="100"/>
        </w:trPr>
        <w:tc>
          <w:tcPr>
            <w:tcW w:w="8385" w:type="dxa"/>
          </w:tcPr>
          <w:p w:rsidR="005D69EE" w:rsidRDefault="005D69EE">
            <w:pPr>
              <w:rPr>
                <w:b/>
                <w:sz w:val="24"/>
                <w:szCs w:val="24"/>
              </w:rPr>
            </w:pPr>
          </w:p>
        </w:tc>
      </w:tr>
    </w:tbl>
    <w:p w:rsidR="00906940" w:rsidRPr="00EE60E0" w:rsidRDefault="005D69EE">
      <w:pPr>
        <w:rPr>
          <w:rFonts w:asciiTheme="majorEastAsia" w:eastAsiaTheme="majorEastAsia" w:hAnsiTheme="majorEastAsia"/>
          <w:b/>
          <w:sz w:val="24"/>
          <w:szCs w:val="24"/>
        </w:rPr>
      </w:pPr>
      <w:r w:rsidRPr="00EE60E0">
        <w:rPr>
          <w:rFonts w:asciiTheme="majorEastAsia" w:eastAsiaTheme="majorEastAsia" w:hAnsiTheme="majorEastAsia" w:hint="eastAsia"/>
          <w:b/>
          <w:sz w:val="24"/>
          <w:szCs w:val="24"/>
        </w:rPr>
        <w:t>◇</w:t>
      </w:r>
      <w:r w:rsidR="00DA57A7" w:rsidRPr="00EE60E0">
        <w:rPr>
          <w:rFonts w:asciiTheme="majorEastAsia" w:eastAsiaTheme="majorEastAsia" w:hAnsiTheme="majorEastAsia" w:hint="eastAsia"/>
          <w:b/>
          <w:sz w:val="24"/>
          <w:szCs w:val="24"/>
        </w:rPr>
        <w:t>地方税法施行令</w:t>
      </w:r>
    </w:p>
    <w:p w:rsidR="00906940" w:rsidRPr="00B30737" w:rsidRDefault="00DA57A7">
      <w:pPr>
        <w:rPr>
          <w:sz w:val="24"/>
        </w:rPr>
      </w:pPr>
      <w:bookmarkStart w:id="0" w:name="049-15"/>
      <w:r w:rsidRPr="00B30737">
        <w:rPr>
          <w:rFonts w:ascii="MS UI Gothic" w:eastAsia="MS UI Gothic" w:hAnsi="MS UI Gothic"/>
        </w:rPr>
        <w:t>（法第三百四十八条第二項第十号の七の政令で定める者等）</w:t>
      </w:r>
      <w:bookmarkEnd w:id="0"/>
    </w:p>
    <w:p w:rsidR="00906940" w:rsidRPr="00EE60E0" w:rsidRDefault="00DA57A7" w:rsidP="00087EDD">
      <w:pPr>
        <w:ind w:left="210" w:hangingChars="100" w:hanging="210"/>
        <w:rPr>
          <w:sz w:val="24"/>
        </w:rPr>
      </w:pPr>
      <w:r w:rsidRPr="00EE60E0">
        <w:rPr>
          <w:rFonts w:ascii="MS UI Gothic" w:eastAsia="MS UI Gothic" w:hAnsi="MS UI Gothic"/>
        </w:rPr>
        <w:t>第四九条の一五　法第三百四十八条第二項第十号の七に規定する政令で定める者は、次に掲げる者とする。</w:t>
      </w:r>
    </w:p>
    <w:p w:rsidR="00B30737" w:rsidRPr="00EE60E0" w:rsidRDefault="00B30737">
      <w:pPr>
        <w:rPr>
          <w:rFonts w:asciiTheme="majorEastAsia" w:eastAsiaTheme="majorEastAsia" w:hAnsiTheme="majorEastAsia"/>
        </w:rPr>
      </w:pPr>
      <w:r w:rsidRPr="00EE60E0">
        <w:rPr>
          <w:rFonts w:asciiTheme="majorEastAsia" w:eastAsiaTheme="majorEastAsia" w:hAnsiTheme="majorEastAsia" w:hint="eastAsia"/>
        </w:rPr>
        <w:t>【</w:t>
      </w:r>
      <w:r w:rsidRPr="00EE60E0">
        <w:rPr>
          <w:rFonts w:asciiTheme="majorEastAsia" w:eastAsiaTheme="majorEastAsia" w:hAnsiTheme="majorEastAsia"/>
        </w:rPr>
        <w:t>略】</w:t>
      </w:r>
    </w:p>
    <w:p w:rsidR="00906940" w:rsidRPr="00EE60E0" w:rsidRDefault="00DA57A7">
      <w:pPr>
        <w:rPr>
          <w:sz w:val="24"/>
        </w:rPr>
      </w:pPr>
      <w:r w:rsidRPr="00EE60E0">
        <w:rPr>
          <w:rFonts w:ascii="MS UI Gothic" w:eastAsia="MS UI Gothic" w:hAnsi="MS UI Gothic"/>
        </w:rPr>
        <w:t>六　前各号に掲げる者以外の者で総務省令で定めるもの</w:t>
      </w:r>
    </w:p>
    <w:p w:rsidR="00906940" w:rsidRDefault="00DA57A7" w:rsidP="00087EDD">
      <w:pPr>
        <w:ind w:left="211" w:hangingChars="100" w:hanging="211"/>
        <w:rPr>
          <w:rFonts w:ascii="MS UI Gothic" w:eastAsia="MS UI Gothic" w:hAnsi="MS UI Gothic"/>
        </w:rPr>
      </w:pPr>
      <w:r w:rsidRPr="00B30737">
        <w:rPr>
          <w:rFonts w:ascii="MS UI Gothic" w:eastAsia="MS UI Gothic" w:hAnsi="MS UI Gothic"/>
          <w:b/>
        </w:rPr>
        <w:t xml:space="preserve">２　</w:t>
      </w:r>
      <w:r>
        <w:rPr>
          <w:rFonts w:ascii="MS UI Gothic" w:eastAsia="MS UI Gothic" w:hAnsi="MS UI Gothic"/>
        </w:rPr>
        <w:t>法第三百四十八条第二項第十号の七に規定する政令で定める固定資産は、次に掲げる固定資産とする。</w:t>
      </w:r>
    </w:p>
    <w:p w:rsidR="00B30737" w:rsidRPr="005D69EE" w:rsidRDefault="00B30737" w:rsidP="00B30737">
      <w:pPr>
        <w:rPr>
          <w:rFonts w:asciiTheme="majorEastAsia" w:eastAsiaTheme="majorEastAsia" w:hAnsiTheme="majorEastAsia"/>
          <w:sz w:val="24"/>
        </w:rPr>
      </w:pPr>
      <w:r w:rsidRPr="005D69EE">
        <w:rPr>
          <w:rFonts w:asciiTheme="majorEastAsia" w:eastAsiaTheme="majorEastAsia" w:hAnsiTheme="majorEastAsia" w:hint="eastAsia"/>
        </w:rPr>
        <w:t>【</w:t>
      </w:r>
      <w:r w:rsidRPr="005D69EE">
        <w:rPr>
          <w:rFonts w:asciiTheme="majorEastAsia" w:eastAsiaTheme="majorEastAsia" w:hAnsiTheme="majorEastAsia"/>
        </w:rPr>
        <w:t>略】</w:t>
      </w:r>
    </w:p>
    <w:p w:rsidR="00906940" w:rsidRDefault="00DA57A7" w:rsidP="00087EDD">
      <w:pPr>
        <w:ind w:left="211" w:hangingChars="100" w:hanging="211"/>
      </w:pPr>
      <w:r w:rsidRPr="00B30737">
        <w:rPr>
          <w:rFonts w:ascii="MS UI Gothic" w:eastAsia="MS UI Gothic" w:hAnsi="MS UI Gothic"/>
          <w:b/>
        </w:rPr>
        <w:t>十</w:t>
      </w:r>
      <w:r>
        <w:rPr>
          <w:rFonts w:ascii="MS UI Gothic" w:eastAsia="MS UI Gothic" w:hAnsi="MS UI Gothic"/>
        </w:rPr>
        <w:t xml:space="preserve">　社会福祉法人及び前項各号に掲げる者（同項第六号に掲げる者にあつては、総務省令で定めるものに限る。）が実施する社会福祉法</w:t>
      </w:r>
      <w:r w:rsidR="00087EDD">
        <w:rPr>
          <w:rFonts w:ascii="MS UI Gothic" w:eastAsia="MS UI Gothic" w:hAnsi="MS UI Gothic" w:hint="eastAsia"/>
        </w:rPr>
        <w:t>第二条</w:t>
      </w:r>
      <w:r>
        <w:rPr>
          <w:rFonts w:ascii="MS UI Gothic" w:eastAsia="MS UI Gothic" w:hAnsi="MS UI Gothic"/>
        </w:rPr>
        <w:t>第三項第二号に掲げる障害児通所支援事業、障害児</w:t>
      </w:r>
      <w:r w:rsidR="00087EDD">
        <w:rPr>
          <w:rFonts w:ascii="MS UI Gothic" w:eastAsia="MS UI Gothic" w:hAnsi="MS UI Gothic" w:hint="eastAsia"/>
        </w:rPr>
        <w:t xml:space="preserve">　</w:t>
      </w:r>
      <w:r>
        <w:rPr>
          <w:rFonts w:ascii="MS UI Gothic" w:eastAsia="MS UI Gothic" w:hAnsi="MS UI Gothic"/>
        </w:rPr>
        <w:t>相談支援事業、放課後児童健全育成事業、子育て短期支援事業、乳児家庭全戸訪問事業、養育支援訪問事業、地域子育て支援拠点事業、一時預かり事業、病児保育事業、子育て援助活動支援事業及び児童の福祉の増進について相談に応ずる事業、同項第四号の二に掲げる一般相談支援事業及び特定相談支援事業、同項第五号に掲げる身体障害者の更生相談に応ずる事業並びに同項第六号に掲げる知的障害者の更生相談に応ずる事業の用に供する固定資産で総務省令で定めるもの並びに同項第四号の二に掲げる障害福祉サービス事業、移動支援事業及び地域活動支援センターを経営する事業、同項第五号に掲げる身体障害者生活訓練等事業及び手話通訳事業並びに同項第十二号に掲げる事業の用に供する固定資産</w:t>
      </w:r>
    </w:p>
    <w:p w:rsidR="00906940" w:rsidRDefault="00906940"/>
    <w:p w:rsidR="00FA6A4B" w:rsidRDefault="00FA6A4B"/>
    <w:p w:rsidR="005D69EE" w:rsidRPr="00EE60E0" w:rsidRDefault="005D69EE">
      <w:pPr>
        <w:rPr>
          <w:rFonts w:asciiTheme="majorEastAsia" w:eastAsiaTheme="majorEastAsia" w:hAnsiTheme="majorEastAsia"/>
          <w:b/>
          <w:sz w:val="24"/>
          <w:szCs w:val="24"/>
        </w:rPr>
      </w:pPr>
      <w:r w:rsidRPr="00EE60E0">
        <w:rPr>
          <w:rFonts w:asciiTheme="majorEastAsia" w:eastAsiaTheme="majorEastAsia" w:hAnsiTheme="majorEastAsia" w:hint="eastAsia"/>
          <w:b/>
          <w:sz w:val="24"/>
          <w:szCs w:val="24"/>
        </w:rPr>
        <w:lastRenderedPageBreak/>
        <w:t>◇</w:t>
      </w:r>
      <w:r w:rsidR="00DA57A7" w:rsidRPr="00EE60E0">
        <w:rPr>
          <w:rFonts w:asciiTheme="majorEastAsia" w:eastAsiaTheme="majorEastAsia" w:hAnsiTheme="majorEastAsia" w:hint="eastAsia"/>
          <w:b/>
          <w:sz w:val="24"/>
          <w:szCs w:val="24"/>
        </w:rPr>
        <w:t>地方税法施行規則</w:t>
      </w:r>
    </w:p>
    <w:p w:rsidR="00906940" w:rsidRPr="00EE60E0" w:rsidRDefault="00DA57A7">
      <w:pPr>
        <w:rPr>
          <w:sz w:val="24"/>
        </w:rPr>
      </w:pPr>
      <w:r w:rsidRPr="00EE60E0">
        <w:rPr>
          <w:rFonts w:ascii="MS UI Gothic" w:eastAsia="MS UI Gothic" w:hAnsi="MS UI Gothic"/>
        </w:rPr>
        <w:t>（政令第四十九条の十五第一項第六号の総務省令で定める者等）</w:t>
      </w:r>
    </w:p>
    <w:p w:rsidR="00906940" w:rsidRPr="00EE60E0" w:rsidRDefault="00DA57A7" w:rsidP="00087EDD">
      <w:pPr>
        <w:ind w:left="210" w:hangingChars="100" w:hanging="210"/>
        <w:rPr>
          <w:sz w:val="24"/>
        </w:rPr>
      </w:pPr>
      <w:r w:rsidRPr="00EE60E0">
        <w:rPr>
          <w:rFonts w:ascii="MS UI Gothic" w:eastAsia="MS UI Gothic" w:hAnsi="MS UI Gothic"/>
        </w:rPr>
        <w:t>第十条の七の三　政令第四十九条の十五第一項第六号に規定する総務省令で定める者は、社会福祉法第六十九条（同法第七十四条の規定が適用される場合を含む。）の規定により都道府県知事に届出をした者で次に掲げる者とする。</w:t>
      </w:r>
    </w:p>
    <w:p w:rsidR="00906940" w:rsidRPr="00EE60E0" w:rsidRDefault="00B30737">
      <w:pPr>
        <w:rPr>
          <w:rFonts w:asciiTheme="majorEastAsia" w:eastAsiaTheme="majorEastAsia" w:hAnsiTheme="majorEastAsia"/>
          <w:szCs w:val="21"/>
        </w:rPr>
      </w:pPr>
      <w:r w:rsidRPr="00EE60E0">
        <w:rPr>
          <w:rFonts w:asciiTheme="majorEastAsia" w:eastAsiaTheme="majorEastAsia" w:hAnsiTheme="majorEastAsia" w:hint="eastAsia"/>
          <w:szCs w:val="21"/>
        </w:rPr>
        <w:t>【略</w:t>
      </w:r>
      <w:r w:rsidRPr="00EE60E0">
        <w:rPr>
          <w:rFonts w:asciiTheme="majorEastAsia" w:eastAsiaTheme="majorEastAsia" w:hAnsiTheme="majorEastAsia"/>
          <w:szCs w:val="21"/>
        </w:rPr>
        <w:t>】</w:t>
      </w:r>
    </w:p>
    <w:p w:rsidR="00906940" w:rsidRPr="00EE60E0" w:rsidRDefault="00DA57A7" w:rsidP="00087EDD">
      <w:pPr>
        <w:ind w:left="210" w:hangingChars="100" w:hanging="210"/>
        <w:rPr>
          <w:sz w:val="24"/>
        </w:rPr>
      </w:pPr>
      <w:r w:rsidRPr="00EE60E0">
        <w:rPr>
          <w:rFonts w:ascii="MS UI Gothic" w:eastAsia="MS UI Gothic" w:hAnsi="MS UI Gothic"/>
        </w:rPr>
        <w:t>四　認知症である老人、身体障害者、知的障害者若しくは精神障害者又はこれらの者、身体障害児若しくは知的障害児の家族その他の関係者により組織される団体（法人格のない団体を含む。）で営利を目的としない団体であることについて都道府県知事が証明したもの</w:t>
      </w:r>
    </w:p>
    <w:p w:rsidR="00906940" w:rsidRPr="005D69EE" w:rsidRDefault="00B30737">
      <w:pPr>
        <w:rPr>
          <w:rFonts w:asciiTheme="majorEastAsia" w:eastAsiaTheme="majorEastAsia" w:hAnsiTheme="majorEastAsia"/>
          <w:szCs w:val="21"/>
        </w:rPr>
      </w:pPr>
      <w:r w:rsidRPr="005D69EE">
        <w:rPr>
          <w:rFonts w:asciiTheme="majorEastAsia" w:eastAsiaTheme="majorEastAsia" w:hAnsiTheme="majorEastAsia" w:hint="eastAsia"/>
          <w:szCs w:val="21"/>
        </w:rPr>
        <w:t>【</w:t>
      </w:r>
      <w:r w:rsidRPr="005D69EE">
        <w:rPr>
          <w:rFonts w:asciiTheme="majorEastAsia" w:eastAsiaTheme="majorEastAsia" w:hAnsiTheme="majorEastAsia"/>
          <w:szCs w:val="21"/>
        </w:rPr>
        <w:t>略】</w:t>
      </w:r>
    </w:p>
    <w:p w:rsidR="00906940" w:rsidRDefault="00DA57A7" w:rsidP="00087EDD">
      <w:pPr>
        <w:ind w:left="210" w:hangingChars="100" w:hanging="210"/>
        <w:rPr>
          <w:sz w:val="24"/>
        </w:rPr>
      </w:pPr>
      <w:r>
        <w:rPr>
          <w:rFonts w:ascii="MS UI Gothic" w:eastAsia="MS UI Gothic" w:hAnsi="MS UI Gothic"/>
        </w:rPr>
        <w:t>１０　政令第四十九条の十五第二項第十号に規定する障害児通所支援事業の用に供する固定資産で総務省令で定めるものは、児童福祉法第六条の二の二第二項に規定する児童発達支援、同条第三項に規定する医療型発達支援、同条第四項に規定する放課後等デイサービス及び同条第五項に規定する保育所等</w:t>
      </w:r>
      <w:bookmarkStart w:id="1" w:name="_GoBack"/>
      <w:bookmarkEnd w:id="1"/>
      <w:r>
        <w:rPr>
          <w:rFonts w:ascii="MS UI Gothic" w:eastAsia="MS UI Gothic" w:hAnsi="MS UI Gothic"/>
        </w:rPr>
        <w:t>訪問支援を行う事業の用に供する固定資産とする。</w:t>
      </w:r>
    </w:p>
    <w:p w:rsidR="00906940" w:rsidRDefault="00DA57A7" w:rsidP="00087EDD">
      <w:pPr>
        <w:ind w:left="210" w:hangingChars="100" w:hanging="210"/>
        <w:rPr>
          <w:sz w:val="24"/>
        </w:rPr>
      </w:pPr>
      <w:r>
        <w:rPr>
          <w:rFonts w:ascii="MS UI Gothic" w:eastAsia="MS UI Gothic" w:hAnsi="MS UI Gothic"/>
        </w:rPr>
        <w:t>１１　政令第四十九条の十五第二項第十号に規定する放課後児童健全育成事業、子育て短期支援事業及び一時預かり事業の用に供する固定資産で総務省令で定めるものは、居室その他これに類する施設の用に供する固定資産とする。</w:t>
      </w:r>
    </w:p>
    <w:p w:rsidR="00906940" w:rsidRDefault="00DA57A7" w:rsidP="00087EDD">
      <w:pPr>
        <w:ind w:left="210" w:hangingChars="100" w:hanging="210"/>
        <w:rPr>
          <w:sz w:val="24"/>
        </w:rPr>
      </w:pPr>
      <w:r>
        <w:rPr>
          <w:rFonts w:ascii="MS UI Gothic" w:eastAsia="MS UI Gothic" w:hAnsi="MS UI Gothic"/>
        </w:rPr>
        <w:t>１２　政令第四十九条の十五第二項第十号に規定する乳児家庭全戸訪問事業及び養育支援訪問事業の用に供する固定資産で総務省令で定めるものは、詰所その他これに類する施設の用に供する固定資産とする。</w:t>
      </w:r>
    </w:p>
    <w:p w:rsidR="00906940" w:rsidRDefault="00DA57A7" w:rsidP="00087EDD">
      <w:pPr>
        <w:ind w:left="210" w:hangingChars="100" w:hanging="210"/>
        <w:rPr>
          <w:sz w:val="24"/>
        </w:rPr>
      </w:pPr>
      <w:r>
        <w:rPr>
          <w:rFonts w:ascii="MS UI Gothic" w:eastAsia="MS UI Gothic" w:hAnsi="MS UI Gothic"/>
        </w:rPr>
        <w:t>１３　政令第四十九条の十五第二項第十号に規定する病児保育事業の用に供する固定資産で総務省令で定めるものは、居室、詰所その他これに類する施設の用に供する固定資産とする。</w:t>
      </w:r>
    </w:p>
    <w:p w:rsidR="00906940" w:rsidRDefault="00DA57A7" w:rsidP="00087EDD">
      <w:pPr>
        <w:ind w:left="210" w:hangingChars="100" w:hanging="210"/>
        <w:rPr>
          <w:sz w:val="24"/>
        </w:rPr>
      </w:pPr>
      <w:r>
        <w:rPr>
          <w:rFonts w:ascii="MS UI Gothic" w:eastAsia="MS UI Gothic" w:hAnsi="MS UI Gothic"/>
        </w:rPr>
        <w:t>１４　政令第四十九条の十五第二項第十号に規定する子育て援助活動支援事業の用に供する固定資産で総務省令で定めるものは、専ら児童福祉法第六条の三第十四項に規定する連絡及び調整等の用に供する固定資産とする。</w:t>
      </w:r>
    </w:p>
    <w:p w:rsidR="00906940" w:rsidRDefault="00DA57A7" w:rsidP="00087EDD">
      <w:pPr>
        <w:ind w:left="210" w:hangingChars="100" w:hanging="210"/>
        <w:rPr>
          <w:sz w:val="24"/>
        </w:rPr>
      </w:pPr>
      <w:r>
        <w:rPr>
          <w:rFonts w:ascii="MS UI Gothic" w:eastAsia="MS UI Gothic" w:hAnsi="MS UI Gothic"/>
        </w:rPr>
        <w:t>１５　政令第四十九条の十五第二項第十号に規定する障害児相談支援事業、地域子育て支援拠点事業、児童の福祉の増進について相談に応ずる事業、一般相談支援事業、特定相談支援事業、身体障害者の更生相談に応ずる事業及び知的障害者の更生相談に応ずる事業の用に供する固定資産で総務省令で定めるものは、相談室その他これに類する施設の用に供する固定資産とする。</w:t>
      </w:r>
    </w:p>
    <w:p w:rsidR="00906940" w:rsidRDefault="00906940"/>
    <w:sectPr w:rsidR="00906940" w:rsidSect="00087ED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31" w:rsidRDefault="00DA57A7">
      <w:r>
        <w:separator/>
      </w:r>
    </w:p>
  </w:endnote>
  <w:endnote w:type="continuationSeparator" w:id="0">
    <w:p w:rsidR="00016B31" w:rsidRDefault="00D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31" w:rsidRDefault="00DA57A7">
      <w:r>
        <w:separator/>
      </w:r>
    </w:p>
  </w:footnote>
  <w:footnote w:type="continuationSeparator" w:id="0">
    <w:p w:rsidR="00016B31" w:rsidRDefault="00DA5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40"/>
    <w:rsid w:val="00016B31"/>
    <w:rsid w:val="00087EDD"/>
    <w:rsid w:val="005D69EE"/>
    <w:rsid w:val="00906940"/>
    <w:rsid w:val="009410E6"/>
    <w:rsid w:val="00B30737"/>
    <w:rsid w:val="00BA3298"/>
    <w:rsid w:val="00D54344"/>
    <w:rsid w:val="00DA57A7"/>
    <w:rsid w:val="00EE60E0"/>
    <w:rsid w:val="00FA6A4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8DB7BFA-14ED-491A-8B87-63EB4FA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BA329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3298"/>
    <w:rPr>
      <w:rFonts w:asciiTheme="majorHAnsi" w:eastAsiaTheme="majorEastAsia" w:hAnsiTheme="majorHAnsi" w:cstheme="majorBidi"/>
      <w:sz w:val="18"/>
      <w:szCs w:val="18"/>
    </w:rPr>
  </w:style>
  <w:style w:type="paragraph" w:styleId="a7">
    <w:name w:val="header"/>
    <w:basedOn w:val="a"/>
    <w:link w:val="a8"/>
    <w:uiPriority w:val="99"/>
    <w:unhideWhenUsed/>
    <w:rsid w:val="00D54344"/>
    <w:pPr>
      <w:tabs>
        <w:tab w:val="center" w:pos="4252"/>
        <w:tab w:val="right" w:pos="8504"/>
      </w:tabs>
      <w:snapToGrid w:val="0"/>
    </w:pPr>
  </w:style>
  <w:style w:type="character" w:customStyle="1" w:styleId="a8">
    <w:name w:val="ヘッダー (文字)"/>
    <w:basedOn w:val="a0"/>
    <w:link w:val="a7"/>
    <w:uiPriority w:val="99"/>
    <w:rsid w:val="00D54344"/>
  </w:style>
  <w:style w:type="paragraph" w:styleId="a9">
    <w:name w:val="footer"/>
    <w:basedOn w:val="a"/>
    <w:link w:val="aa"/>
    <w:uiPriority w:val="99"/>
    <w:unhideWhenUsed/>
    <w:rsid w:val="00D54344"/>
    <w:pPr>
      <w:tabs>
        <w:tab w:val="center" w:pos="4252"/>
        <w:tab w:val="right" w:pos="8504"/>
      </w:tabs>
      <w:snapToGrid w:val="0"/>
    </w:pPr>
  </w:style>
  <w:style w:type="character" w:customStyle="1" w:styleId="aa">
    <w:name w:val="フッター (文字)"/>
    <w:basedOn w:val="a0"/>
    <w:link w:val="a9"/>
    <w:uiPriority w:val="99"/>
    <w:rsid w:val="00D5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418F-DF93-4B02-AD56-25EBE32156C5}">
  <ds:schemaRefs>
    <ds:schemaRef ds:uri="http://schemas.openxmlformats.org/officeDocument/2006/bibliography"/>
  </ds:schemaRefs>
</ds:datastoreItem>
</file>